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394"/>
      </w:tblGrid>
      <w:tr>
        <w:trPr/>
        <w:tc>
          <w:tcPr>
            <w:tcW w:w="1039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19"/>
              <w:gridCol w:w="7274"/>
            </w:tblGrid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BUNDESLAND</w:t>
                  </w:r>
                </w:p>
              </w:tc>
              <w:tc>
                <w:tcPr>
                  <w:tcW w:w="72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LÄNDERSPEZIFISCHE REGELUNGEN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Baden-Württemberg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 über sachverständige Stellen in der Wasserwirtschaft vom 2.05.2001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(GBl. 2001, S. 399) 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Bayern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Verordnung über die Zulassung von Prüflaboratorien für Wasseruntersuchungen (Laborverordnung – LaborV)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 vom 22.11.2010 (GVBl Nr. 21/2010, S.777)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Rechtsvorschriften und Verfahrensablauf im Internet unter: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https://www.lfu.bayern.de/analytik_stoffe/untersuchungsstellen/laborverordnung/index.htm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 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Brandenburg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Auf Grund der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Verordnung über die Zulassung von Untersuchungsstellen für bestimmte Abwasser- und Gewässeruntersuchungen sowie Probenahmen im Land Brandenburg (Untersuchungsstellen - Zulassungsverordnung - UStZulV)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vom 17. Dezember 1997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(GVBl.II/98, [Nr. 03], S.38)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zuletzt geändert durch Artikel 2 Absatz 29 des Gesetzes vom 25. Januar 2016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(</w:t>
                  </w: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"https://bravors.brandenburg.de/br2/sixcms/media.php/76/GVBl_I_05_2016.pdf"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  <w:u w:val="single"/>
                    </w:rPr>
                    <w:t xml:space="preserve">GVBl.I/16, [Nr. 5]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)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dürfen Untersuchungen, die im Rahmen der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qualifizierten Selbstüberwachung von Abwassereinleitungen in Gewässer gemäß § 73 Abs. 1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von der Wasserbehörde angeordneten Untersuchungen von Indirekteinleitungen gemäß § 74 Satz 1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amtlichen Überwachung von Abwassereinleitungen gemäß § 110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von der Wasserbehörde angeordneten Untersuchungen von Rohwasser gemäß § 62 Absatz 1 des Brandenburgischen Wassergesetzes,</w:t>
                  </w:r>
                </w:p>
                <w:p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720" w:hanging="360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amtlichen Feststellung der Gewässergüte von Grund- und Oberflächenwasser </w:t>
                  </w:r>
                </w:p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erfolgen, nur von zugelassenen Untersuchungsstellen (Prüflaboratorien) durchgeführt werden.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Die 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UStZulV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ist zu finden unter: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"https://bravors.brandenburg.de/verordnungen/ustzulv_2016"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https://bravors.brandenburg.de/verordnungen/ustzulv_2016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Die Zulassung erfolgt auf 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Antrag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"http://www.mlul.brandenburg.de/cms/media.php/lbm1.a.3310.de/Anlage2_Antrag_UStZulV.doc"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http://www.mlul.brandenburg.de/cms/media.php/lbm1.a.3310.de/Anlage2_Antrag_UStZulV.doc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Die </w:t>
                  </w:r>
                  <w:r>
                    <w:rPr>
                      <w:rFonts w:ascii="Verdana" w:hAnsi="Verdana" w:eastAsia="Verdana"/>
                      <w:b/>
                      <w:color w:val="000000"/>
                      <w:sz w:val="18"/>
                    </w:rPr>
                    <w:t xml:space="preserve">Bekanntmachung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 zugelassener Untersuchungsstellen erfolgt ausschließlich im ReSyMeSa; vgl. auch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"http://www.mlul.brandenburg.de/cms/media.php/lbm1.a.3310.de/Anlage1_Verzeichnis_UStellen.pdf"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http://www.mlul.brandenburg.de/cms/media.php/lbm1.a.3310.de/Anlage1_Verzeichnis_UStellen.pdf</w:t>
                  </w:r>
                  <w:r>
                    <w:fldChar w:fldCharType="end" w:fldLock="0" w:dirty="0"/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Hamburg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 über Anforderungen an Wasser- und Abwasseruntersuchungsstellen und deren Zulassung vom 14. Juli 2015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Link: </w:t>
                  </w: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"http://www.luewa.de/gvbl" </w:instrText>
                  </w:r>
                  <w:r>
                    <w:fldChar w:fldCharType="separate" w:fldLock="0" w:dirty="0"/>
                  </w:r>
                  <w:r>
                    <w:rPr>
                      <w:rFonts w:ascii="Verdana" w:hAnsi="Verdana" w:eastAsia="Verdana"/>
                      <w:color w:val="0000FF"/>
                      <w:sz w:val="18"/>
                      <w:u w:val="single"/>
                    </w:rPr>
                    <w:t xml:space="preserve">www.luewa.de/gvbl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Mecklenburg-Vorpommern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 über die Anerkennung als sachverständige Stelle für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Abwasseruntersuchungen (AsSAVO M-V)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vom 14. Dezember 2005 (GVOBl. M-V S. 667) mehrfach geändert durch Verordnung vom 03. Juni 2011 (GVOBl. M-V S. 359)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Niedersachsen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Verordnung zur Änderung der Verordnung über staatlich anerkannte Untersuchungsstellen der wasser- und abfallrechtlichen Überwachung vom 23. April 2010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Nordrhein-Westfalen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Zur Zeit gibt es im Land NRW keine Notifizierungen im wasserrechtlich geregelten Bereich. 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Untersuchungen nach §§ 50, 60, 60a Landeswassergesetz (Selbstüberwachung von Rohwasser und Abwasseranlagen) können von geeigneten Untersuchungsstellen durchgeführt werden.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Rheinland-Pfalz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199" w:after="199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&lt;?xml:namespace prefix="o" ns="urn:schemas-microsoft-com:office:office"?&gt;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 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Laut Wassergesetz für das Land Rheinland-Pfalz ( Landeswassergesetz - LWG) in der Fassung der Bekanntmachung vom 22.Januar 2004 (GVBl. 2004, S.54), Stand: 23.11.2011 (GVBl. 2011, S. 402) benötigt der Beauftragte nach §57 „Eigenüberwachung“ keine besondere Zulassung. Die Eignungsprüfung ist eine zivilrechtliche Angelegenheit zwischen Auftraggeber und Auftragnehmer. Daher bietet sich an , dass die Laboratorien sich notifizieren / akkreditieren lassen, um beim Vertragsabschluß diese Unterlagen vorzuweisen.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Eine Notifizierung ist in Rheinland-Pfalz nicht vorgesehen.</w:t>
                  </w:r>
                </w:p>
                <w:p>
                  <w:pPr>
                    <w:spacing w:after="199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Schleswig-Holstein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Landesverordnung über die Zulassung von Wasseruntersuchungsstellen (-ZWVO-) </w:t>
                  </w: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br/>
                    <w:t xml:space="preserve">vom 16. Dezember 2003 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11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Thüringen</w:t>
                  </w:r>
                </w:p>
              </w:tc>
              <w:tc>
                <w:tcPr>
                  <w:tcW w:w="727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Verdana" w:hAnsi="Verdana" w:eastAsia="Verdana"/>
                      <w:color w:val="000000"/>
                      <w:sz w:val="18"/>
                    </w:rPr>
                    <w:t xml:space="preserve">Thüringer Abwassereigenkontrollverordnug (ThürAbwEKVO) vom 23.August 2004 (GVBl. S. 721), zuletzt geändert durch Zweite Verordnung der ThürAbwEKVO vom 2. August 2014 (GBBl. S. 568) 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144" w:hRule="atLeast"/>
        </w:trPr>
        <w:tc>
          <w:tcPr>
            <w:tcW w:w="10394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1913" w:right="566" w:bottom="1514" w:left="566" w:header="1133" w:footer="1133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712"/>
      <w:gridCol w:w="3480"/>
      <w:gridCol w:w="3202"/>
    </w:tblGrid>
    <w:tr>
      <w:trPr/>
      <w:tc>
        <w:tcPr>
          <w:tcW w:w="37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4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71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712"/>
          </w:tblGrid>
          <w:tr>
            <w:trPr>
              <w:trHeight w:val="262" w:hRule="atLeast"/>
            </w:trPr>
            <w:tc>
              <w:tcPr>
                <w:tcW w:w="371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10.05.2025 06:16:50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48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202"/>
          </w:tblGrid>
          <w:tr>
            <w:trPr>
              <w:trHeight w:val="262" w:hRule="atLeast"/>
            </w:trPr>
            <w:tc>
              <w:tcPr>
                <w:tcW w:w="32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Seite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 von 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Verdana" w:hAnsi="Verdana" w:eastAsia="Verdana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t xml:space="preserve">1</w:t>
                </w:r>
                <w:r>
                  <w:rPr>
                    <w:rFonts w:ascii="Verdana" w:hAnsi="Verdana" w:eastAsia="Verdana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394"/>
    </w:tblGrid>
    <w:tr>
      <w:trPr/>
      <w:tc>
        <w:tcPr>
          <w:tcW w:w="1039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394"/>
          </w:tblGrid>
          <w:tr>
            <w:trPr>
              <w:trHeight w:val="517" w:hRule="atLeast"/>
            </w:trPr>
            <w:tc>
              <w:tcPr>
                <w:tcW w:w="1039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Länderspezifische Regelungen - Modul </w:t>
                </w:r>
                <w:r>
                  <w:rPr>
                    <w:rFonts w:ascii="Verdana" w:hAnsi="Verdana" w:eastAsia="Verdana"/>
                    <w:b/>
                    <w:color w:val="000000"/>
                    <w:sz w:val="24"/>
                  </w:rPr>
                  <w:t xml:space="preserve">Wasser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394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LaenderSpezRegelungen</dc:title>
</cp:coreProperties>
</file>