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 BAM-Ringversuch Altlasten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PCB, MKW,  Elemente (As,Cd,Cr,Cu,Hg,Ni,Pb,Zn), Gesamtcyanid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31.08.2018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20.05.2019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LÜRV-A-Boden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 (zugleich für FMA)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Elemente im KW-Aufschluss, pH (TB 1.2 FM 2012) / PCB, PAK (TB 1.3 FM 2012)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LANUV NRW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02.04.2019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September 2021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LÜRV-A-Boden 2021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Bodenart/Tongehalt, pH-Wert, Phosphor, Arsen, Blei, Cadmium, Chrom, Kupfer, Nickel, Quecksilber, Thallium, Zink, Kalium, Magnesium, Humusgehalt, Nitratstickstoff, Ammoniumstickstoff, Gesamtstickstoff, mineralischer Schwefel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LANUV NRW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September 2021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 BAM-Ringversuch "Altlasten"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PAK, MKW, PCB, Elemente, Cyanid ges.,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29.03.2024 02:22:02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