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7"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0394"/>
      </w:tblGrid>
      <w:tr>
        <w:trPr/>
        <w:tc>
          <w:tcPr>
            <w:tcW w:w="1039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119"/>
              <w:gridCol w:w="7274"/>
            </w:tblGrid>
            <w:tr>
              <w:trPr>
                <w:trHeight w:val="247" w:hRule="atLeast"/>
              </w:trPr>
              <w:tc>
                <w:tcPr>
                  <w:tcW w:w="3119" w:type="dxa"/>
                  <w:tcBorders>
                    <w:top w:val="nil" w:color="000000" w:sz="7"/>
                    <w:left w:val="nil"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BUNDESLAND</w:t>
                  </w:r>
                </w:p>
              </w:tc>
              <w:tc>
                <w:tcPr>
                  <w:tcW w:w="727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LÄNDERSPEZIFISCHE REGELUNGEN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Baden-Württemberg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Unterlagen für den Antrag auf Bekanntgabe als Sachverständiger nach § 29b BImSchG in Verbindung mit der 41. BImSchV sind veröffentlicht unter</w:t>
                  </w:r>
                </w:p>
                <w:p>
                  <w:pPr>
                    <w:spacing w:after="199" w:line="240" w:lineRule="auto"/>
                    <w:jc w:val="left"/>
                  </w:pPr>
                  <w:r>
                    <w:fldChar w:fldCharType="begin" w:fldLock="0" w:dirty="0"/>
                  </w:r>
                  <w:r>
                    <w:rPr>
                      <w:noProof/>
                    </w:rPr>
                    <w:instrText xml:space="preserve"> HYPERLINK "http://www.lubw.baden-wuerttemberg.de/betrieblicher-umweltschutz/sachverstandige-nach-29b-bimschg" </w:instrText>
                  </w:r>
                  <w:r>
                    <w:fldChar w:fldCharType="separate" w:fldLock="0" w:dirty="0"/>
                  </w:r>
                  <w:r>
                    <w:rPr>
                      <w:rFonts w:ascii="Verdana" w:hAnsi="Verdana" w:eastAsia="Verdana"/>
                      <w:color w:val="0000FF"/>
                      <w:sz w:val="18"/>
                      <w:u w:val="single"/>
                    </w:rPr>
                    <w:t xml:space="preserve">http://www.lubw.baden-wuerttemberg.de/betrieblicher-umweltschutz/sachverstandige-nach-29b-bimschg</w:t>
                  </w:r>
                  <w:r>
                    <w:fldChar w:fldCharType="end" w:fldLock="0" w:dirty="0"/>
                  </w:r>
                  <w:r>
                    <w:rPr>
                      <w:rFonts w:ascii="Verdana" w:hAnsi="Verdana" w:eastAsia="Verdana"/>
                      <w:color w:val="000000"/>
                      <w:sz w:val="18"/>
                    </w:rPr>
                    <w:t xml:space="preserve">.</w:t>
                  </w:r>
                </w:p>
                <w:p>
                  <w:pPr>
                    <w:spacing w:after="199" w:line="240" w:lineRule="auto"/>
                    <w:jc w:val="left"/>
                  </w:pPr>
                  <w:r>
                    <w:rPr>
                      <w:rFonts w:ascii="Verdana" w:hAnsi="Verdana" w:eastAsia="Verdana"/>
                      <w:color w:val="000000"/>
                      <w:sz w:val="18"/>
                    </w:rPr>
                    <w:t xml:space="preserve">Der Geschäftssitz des Antragstellers muss in Baden-Württemberg liegen.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Brandenburg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Richtlinien des Ministeriums für Landwirtschaft, Umweltschutz und Raumordnung </w:t>
                  </w:r>
                </w:p>
                <w:p>
                  <w:pPr>
                    <w:spacing w:after="0" w:line="240" w:lineRule="auto"/>
                    <w:jc w:val="left"/>
                  </w:pPr>
                  <w:r>
                    <w:rPr>
                      <w:rFonts w:ascii="Verdana" w:hAnsi="Verdana" w:eastAsia="Verdana"/>
                      <w:color w:val="000000"/>
                      <w:sz w:val="18"/>
                    </w:rPr>
                    <w:t xml:space="preserve">für die Bekanntgabe von Sachverständigen nach § 29a Abs. 1 des </w:t>
                  </w:r>
                </w:p>
                <w:p>
                  <w:pPr>
                    <w:spacing w:after="0" w:line="240" w:lineRule="auto"/>
                    <w:jc w:val="left"/>
                  </w:pPr>
                  <w:r>
                    <w:rPr>
                      <w:rFonts w:ascii="Verdana" w:hAnsi="Verdana" w:eastAsia="Verdana"/>
                      <w:color w:val="000000"/>
                      <w:sz w:val="18"/>
                    </w:rPr>
                    <w:t xml:space="preserve">Bundes-Immissionsschutzgesetzes vom 28. Oktober 2003 (ABl. S. 1037)</w:t>
                  </w:r>
                </w:p>
                <w:p>
                  <w:pPr>
                    <w:spacing w:after="0" w:line="240" w:lineRule="auto"/>
                    <w:jc w:val="left"/>
                  </w:pPr>
                  <w:r>
                    <w:rPr>
                      <w:rFonts w:ascii="Verdana" w:hAnsi="Verdana" w:eastAsia="Verdana"/>
                      <w:color w:val="000000"/>
                      <w:sz w:val="18"/>
                    </w:rPr>
                    <w:t xml:space="preserve"> </w:t>
                  </w:r>
                </w:p>
                <w:p>
                  <w:pPr>
                    <w:spacing w:before="199" w:after="199" w:line="240" w:lineRule="auto"/>
                    <w:jc w:val="left"/>
                  </w:pPr>
                  <w:r>
                    <w:rPr>
                      <w:rFonts w:ascii="Verdana" w:hAnsi="Verdana" w:eastAsia="Verdana"/>
                      <w:color w:val="000000"/>
                      <w:sz w:val="18"/>
                    </w:rPr>
                    <w:t xml:space="preserve">Hinweise zur Beantragung </w:t>
                  </w:r>
                </w:p>
                <w:p>
                  <w:pPr>
                    <w:spacing w:after="199" w:line="240" w:lineRule="auto"/>
                    <w:jc w:val="left"/>
                  </w:pPr>
                  <w:r>
                    <w:rPr>
                      <w:rFonts w:ascii="Verdana" w:hAnsi="Verdana" w:eastAsia="Verdana"/>
                      <w:color w:val="000000"/>
                      <w:sz w:val="18"/>
                    </w:rPr>
                    <w:t xml:space="preserve">Hinweis zur Erlaubnis der Tätigkeit: Im Land Brandenburg dürfen alle Sachverständigen tätig werden, die in einem beliebigen Bundesland der Bundesrepublik Deutschland über eine Bekanntgabe mit einem für den jeweiligen Arbeitsauftrag geeigneten Zulassungsumfang verfügen. Dies gilt uneingeschränkt für Bekanntgaben nach dem 18. August 2010 und unter Beachtung des hierzu durch das Ministerium für Umwelt, Gesundheit und Verbraucherschutz herausgegebenen Erlasses auch für vor dem 18. August 2010 erfolgte Bekanntgaben</w:t>
                  </w:r>
                </w:p>
                <w:p>
                  <w:pPr>
                    <w:spacing w:after="199" w:line="240" w:lineRule="auto"/>
                    <w:jc w:val="left"/>
                  </w:pPr>
                  <w:r>
                    <w:rPr>
                      <w:rFonts w:ascii="Verdana" w:hAnsi="Verdana" w:eastAsia="Verdana"/>
                      <w:color w:val="000000"/>
                      <w:sz w:val="18"/>
                    </w:rPr>
                    <w:t xml:space="preserve">Siehe auch: </w:t>
                  </w:r>
                  <w:r>
                    <w:fldChar w:fldCharType="begin" w:fldLock="0" w:dirty="0"/>
                  </w:r>
                  <w:r>
                    <w:rPr>
                      <w:noProof/>
                    </w:rPr>
                    <w:instrText xml:space="preserve"> HYPERLINK "http://www.mugv.brandenburg.de/cms/media.php/lbm1.a.2318.de/vv%20mess.pdf" </w:instrText>
                  </w:r>
                  <w:r>
                    <w:fldChar w:fldCharType="separate" w:fldLock="0" w:dirty="0"/>
                  </w:r>
                  <w:r>
                    <w:rPr>
                      <w:rFonts w:ascii="Verdana" w:hAnsi="Verdana" w:eastAsia="Verdana"/>
                      <w:color w:val="0000FF"/>
                      <w:sz w:val="18"/>
                      <w:u w:val="single"/>
                    </w:rPr>
                    <w:t xml:space="preserve">www.mugv.brandenburg.de/cms/media.php/lbm1.a.2318.de/vv mess.pdf</w:t>
                  </w:r>
                  <w:r>
                    <w:fldChar w:fldCharType="end" w:fldLock="0" w:dirty="0"/>
                  </w: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Weitere Informationen:</w:t>
                  </w:r>
                </w:p>
                <w:p>
                  <w:pPr>
                    <w:spacing w:after="199" w:line="240" w:lineRule="auto"/>
                    <w:jc w:val="left"/>
                  </w:pPr>
                  <w:r>
                    <w:rPr>
                      <w:rFonts w:ascii="Verdana" w:hAnsi="Verdana" w:eastAsia="Verdana"/>
                      <w:color w:val="000000"/>
                      <w:sz w:val="18"/>
                    </w:rPr>
                    <w:t xml:space="preserve">Gesetz zur Umsetzung der Dienstleistungsrichtlinie auf dem Gebiet des Umweltrechts sowie zur Änderung umweltrechtlicher Vorschriften vom 11.August 2010</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Hessen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fldChar w:fldCharType="begin" w:fldLock="0" w:dirty="0"/>
                  </w:r>
                  <w:r>
                    <w:rPr>
                      <w:noProof/>
                    </w:rPr>
                    <w:instrText xml:space="preserve"> HYPERLINK "http://www.hlug.de/fileadmin/downloads/luft/41_BImSchG/Arbeitshilfe_zur_41_BImSchV.pdf" </w:instrText>
                  </w:r>
                  <w:r>
                    <w:fldChar w:fldCharType="separate" w:fldLock="0" w:dirty="0"/>
                  </w:r>
                  <w:r>
                    <w:rPr>
                      <w:rFonts w:ascii="arial" w:hAnsi="arial" w:eastAsia="arial"/>
                      <w:b/>
                      <w:color w:val="000000"/>
                      <w:sz w:val="22"/>
                      <w:u w:val="single"/>
                    </w:rPr>
                    <w:t xml:space="preserve">Arbeitshilfe zur 41. BImSchV für die Bekanntgabe von Sachverständigen im Sinne von § 29a BImSchG gemäß § 29b Absatz 1 BImSchG</w:t>
                  </w:r>
                  <w:r>
                    <w:fldChar w:fldCharType="end" w:fldLock="0" w:dirty="0"/>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Die Arbeitshilfe wurde auf der 132. Sitzung des Ausschusses Anlagenbezogener Immissionsschutz/Störfallvorsorge (AISV) der LAI am 22.07.2014 mehrheitlich verabschiedet und zur Anwendung in den Ländern empfohlen.</w:t>
                  </w:r>
                  <w:r>
                    <w:rPr>
                      <w:rFonts w:ascii="arial" w:hAnsi="arial" w:eastAsia="arial"/>
                      <w:color w:val="000000"/>
                      <w:sz w:val="20"/>
                    </w:rPr>
                    <w:br/>
                  </w:r>
                  <w:r>
                    <w:rPr>
                      <w:rFonts w:ascii="Verdana" w:hAnsi="Verdana" w:eastAsia="Verdana"/>
                      <w:color w:val="000000"/>
                      <w:sz w:val="18"/>
                    </w:rPr>
                  </w:r>
                  <w:r>
                    <w:rPr>
                      <w:rFonts w:ascii="Verdana" w:hAnsi="Verdana" w:eastAsia="Verdana"/>
                      <w:color w:val="000000"/>
                      <w:sz w:val="18"/>
                    </w:rPr>
                    <w:br/>
                  </w:r>
                  <w:r>
                    <w:fldChar w:fldCharType="begin" w:fldLock="0" w:dirty="0"/>
                  </w:r>
                  <w:r>
                    <w:rPr>
                      <w:noProof/>
                    </w:rPr>
                    <w:instrText xml:space="preserve"> HYPERLINK "http://www.hlug.de/fileadmin/downloads/luft/41_BImSchG/Antragsformular.doc" </w:instrText>
                  </w:r>
                  <w:r>
                    <w:fldChar w:fldCharType="separate" w:fldLock="0" w:dirty="0"/>
                  </w:r>
                  <w:r>
                    <w:rPr>
                      <w:rFonts w:ascii="Arial" w:hAnsi="Arial" w:eastAsia="Arial"/>
                      <w:b/>
                      <w:color w:val="0000FF"/>
                      <w:sz w:val="22"/>
                      <w:u w:val="single"/>
                    </w:rPr>
                    <w:t xml:space="preserve">Antragsformular</w:t>
                  </w:r>
                  <w:r>
                    <w:fldChar w:fldCharType="end" w:fldLock="0" w:dirty="0"/>
                  </w:r>
                  <w:r>
                    <w:rPr>
                      <w:rFonts w:ascii="Verdana" w:hAnsi="Verdana" w:eastAsia="Verdana"/>
                      <w:color w:val="000000"/>
                      <w:sz w:val="18"/>
                    </w:rPr>
                  </w:r>
                  <w:r>
                    <w:rPr>
                      <w:rFonts w:ascii="Verdana" w:hAnsi="Verdana" w:eastAsia="Verdana"/>
                      <w:color w:val="000000"/>
                      <w:sz w:val="18"/>
                    </w:rPr>
                    <w:br/>
                  </w:r>
                  <w:r>
                    <w:rPr>
                      <w:rFonts w:ascii="Verdana" w:hAnsi="Verdana" w:eastAsia="Verdana"/>
                      <w:color w:val="000000"/>
                      <w:sz w:val="18"/>
                    </w:rPr>
                    <w:br/>
                  </w:r>
                  <w:r>
                    <w:fldChar w:fldCharType="begin" w:fldLock="0" w:dirty="0"/>
                  </w:r>
                  <w:r>
                    <w:rPr>
                      <w:noProof/>
                    </w:rPr>
                    <w:instrText xml:space="preserve"> HYPERLINK "http://www.hlug.de/fileadmin/downloads/luft/41_BImSchG/Bestaetigung_Haftpflichtversicherung.doc" </w:instrText>
                  </w:r>
                  <w:r>
                    <w:fldChar w:fldCharType="separate" w:fldLock="0" w:dirty="0"/>
                  </w:r>
                  <w:r>
                    <w:rPr>
                      <w:rFonts w:ascii="Arial" w:hAnsi="Arial" w:eastAsia="Arial"/>
                      <w:b/>
                      <w:color w:val="0000FF"/>
                      <w:sz w:val="22"/>
                      <w:u w:val="single"/>
                    </w:rPr>
                    <w:t xml:space="preserve">Formular für die Haftpflichtversicherung</w:t>
                  </w:r>
                  <w:r>
                    <w:fldChar w:fldCharType="end" w:fldLock="0" w:dirty="0"/>
                  </w:r>
                  <w:r>
                    <w:rPr>
                      <w:rFonts w:ascii="Verdana" w:hAnsi="Verdana" w:eastAsia="Verdana"/>
                      <w:color w:val="000000"/>
                      <w:sz w:val="18"/>
                    </w:rPr>
                  </w:r>
                  <w:r>
                    <w:rPr>
                      <w:rFonts w:ascii="Verdana" w:hAnsi="Verdana" w:eastAsia="Verdana"/>
                      <w:color w:val="000000"/>
                      <w:sz w:val="18"/>
                    </w:rPr>
                    <w:br/>
                  </w:r>
                  <w:r>
                    <w:rPr>
                      <w:rFonts w:ascii="Verdana" w:hAnsi="Verdana" w:eastAsia="Verdana"/>
                      <w:color w:val="000000"/>
                      <w:sz w:val="18"/>
                    </w:rPr>
                    <w:br/>
                  </w:r>
                  <w:r>
                    <w:rPr>
                      <w:rFonts w:ascii="Verdana" w:hAnsi="Verdana" w:eastAsia="Verdana"/>
                      <w:color w:val="000000"/>
                      <w:sz w:val="18"/>
                    </w:rPr>
                    <w:br/>
                    <w:t xml:space="preserve">In Hessen dürfen alle Sachverständigen tätig werden, die über eine Bekanntgabe nach § 29a Abs. 1 Satz 1 oder § 29b Bundes-Immissionsschutzgesetz eines Landes verfügen.</w:t>
                  </w:r>
                </w:p>
                <w:p>
                  <w:pPr>
                    <w:spacing w:after="0" w:line="240" w:lineRule="auto"/>
                    <w:jc w:val="left"/>
                  </w:pPr>
                  <w:r>
                    <w:rPr>
                      <w:rFonts w:ascii="Verdana" w:hAnsi="Verdana" w:eastAsia="Verdana"/>
                      <w:color w:val="000000"/>
                      <w:sz w:val="18"/>
                    </w:rPr>
                  </w:r>
                  <w:r>
                    <w:rPr>
                      <w:rFonts w:ascii="Verdana" w:hAnsi="Verdana" w:eastAsia="Verdana"/>
                      <w:color w:val="000000"/>
                      <w:sz w:val="18"/>
                    </w:rPr>
                    <w:br/>
                    <w:t xml:space="preserve">Ein Zweitbekanntgabe wird nicht mehr durchgeführt.</w:t>
                  </w:r>
                </w:p>
                <w:p>
                  <w:pPr>
                    <w:spacing w:after="0" w:line="240" w:lineRule="auto"/>
                    <w:jc w:val="left"/>
                  </w:pPr>
                  <w:r>
                    <w:rPr>
                      <w:rFonts w:ascii="Verdana" w:hAnsi="Verdana" w:eastAsia="Verdana"/>
                      <w:color w:val="000000"/>
                      <w:sz w:val="18"/>
                    </w:rPr>
                    <w:t xml:space="preserve">Die entsprechenden Regelungen finden sich im Erlaß des Hessisches Ministerium</w:t>
                  </w:r>
                  <w:r>
                    <w:rPr>
                      <w:rFonts w:ascii="Verdana" w:hAnsi="Verdana" w:eastAsia="Verdana"/>
                      <w:color w:val="000000"/>
                      <w:sz w:val="18"/>
                    </w:rPr>
                    <w:br/>
                  </w:r>
                </w:p>
                <w:p>
                  <w:pPr>
                    <w:spacing w:after="0" w:line="240" w:lineRule="auto"/>
                    <w:jc w:val="left"/>
                  </w:pPr>
                  <w:r>
                    <w:rPr>
                      <w:rFonts w:ascii="Verdana" w:hAnsi="Verdana" w:eastAsia="Verdana"/>
                      <w:color w:val="000000"/>
                      <w:sz w:val="18"/>
                    </w:rPr>
                    <w:t xml:space="preserve">für Umwelt, Energie, Landwirtschaft und Verbraucherschutz im Staatsanzeiger 49/2010 S. 2645.</w:t>
                  </w:r>
                </w:p>
                <w:p>
                  <w:pPr>
                    <w:spacing w:after="0" w:line="240" w:lineRule="auto"/>
                    <w:jc w:val="left"/>
                  </w:pPr>
                  <w:r>
                    <w:rPr>
                      <w:rFonts w:ascii="Verdana" w:hAnsi="Verdana" w:eastAsia="Verdana"/>
                      <w:color w:val="000000"/>
                      <w:sz w:val="18"/>
                    </w:rPr>
                    <w:t xml:space="preserve">Link: </w:t>
                  </w:r>
                  <w:r>
                    <w:rPr>
                      <w:rFonts w:ascii="Verdana" w:hAnsi="Verdana" w:eastAsia="Verdana"/>
                      <w:color w:val="000000"/>
                      <w:sz w:val="18"/>
                    </w:rPr>
                    <w:br/>
                  </w:r>
                </w:p>
                <w:p>
                  <w:pPr>
                    <w:spacing w:after="0" w:line="240" w:lineRule="auto"/>
                    <w:jc w:val="left"/>
                  </w:pPr>
                  <w:r>
                    <w:rPr>
                      <w:rFonts w:ascii="Verdana" w:hAnsi="Verdana" w:eastAsia="Verdana"/>
                      <w:color w:val="000000"/>
                      <w:sz w:val="18"/>
                    </w:rPr>
                    <w:t xml:space="preserve">http://www.staatsanzeiger-hessen.de/</w:t>
                  </w:r>
                  <w:r>
                    <w:rPr>
                      <w:rFonts w:ascii="Verdana" w:hAnsi="Verdana" w:eastAsia="Verdana"/>
                      <w:color w:val="000000"/>
                      <w:sz w:val="18"/>
                    </w:rPr>
                    <w:br/>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Niedersachsen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 Unterlagen zum Antrag auf Bekanntgabe als Sachverständiger, soweit der Antragsteller seinen Geschäftssitz in Niedersachsen hat sowie weitere Informationen sind veröffentlicht unter:</w:t>
                  </w:r>
                </w:p>
                <w:p>
                  <w:pPr>
                    <w:spacing w:after="199" w:line="240" w:lineRule="auto"/>
                    <w:jc w:val="left"/>
                  </w:pPr>
                  <w:r>
                    <w:rPr>
                      <w:rFonts w:ascii="Verdana" w:hAnsi="Verdana" w:eastAsia="Verdana"/>
                      <w:color w:val="000000"/>
                      <w:sz w:val="18"/>
                    </w:rPr>
                    <w:t xml:space="preserve"> </w:t>
                  </w:r>
                </w:p>
                <w:p>
                  <w:pPr>
                    <w:spacing w:after="199" w:line="240" w:lineRule="auto"/>
                    <w:jc w:val="left"/>
                  </w:pPr>
                  <w:r>
                    <w:fldChar w:fldCharType="begin" w:fldLock="0" w:dirty="0"/>
                  </w:r>
                  <w:r>
                    <w:rPr>
                      <w:noProof/>
                    </w:rPr>
                    <w:instrText xml:space="preserve"> HYPERLINK "http://www.gewerbeaufsicht.niedersachsen.de/portal/live.php?navigation_id=35202&amp;article_id=126304&amp;_psmand=37" </w:instrText>
                  </w:r>
                  <w:r>
                    <w:fldChar w:fldCharType="separate" w:fldLock="0" w:dirty="0"/>
                  </w:r>
                  <w:r>
                    <w:rPr>
                      <w:rFonts w:ascii="Verdana" w:hAnsi="Verdana" w:eastAsia="Verdana"/>
                      <w:color w:val="0000FF"/>
                      <w:sz w:val="18"/>
                      <w:u w:val="single"/>
                    </w:rPr>
                    <w:t xml:space="preserve">http://www.gewerbeaufsicht.niedersachsen.de/portal/live.php?navigation_id=35202&amp;article_id=126304&amp;_psmand=37 </w:t>
                  </w:r>
                  <w:r>
                    <w:fldChar w:fldCharType="end" w:fldLock="0" w:dirty="0"/>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Nordrhein-Westfalen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In Nordrhein-Westfalen dürfen alle Sachverständigen tätig werden, die über eine Bekanntgabe nach § 29a Abs.1 Satz 1 BImSchG eines beliebigen Bundeslandes verfügen. </w:t>
                  </w:r>
                  <w:r>
                    <w:rPr>
                      <w:rFonts w:ascii="Verdana" w:hAnsi="Verdana" w:eastAsia="Verdana"/>
                      <w:color w:val="000000"/>
                      <w:sz w:val="18"/>
                    </w:rPr>
                    <w:t xml:space="preserve">Der Umfang der Berechtigung richtet sich nach dem zugelassenen Prüfumfang im Bekanntgabebescheid des Landes, indem sich der Geschäftssitz der/des Sachverständigen befindet.</w:t>
                  </w:r>
                  <w:r>
                    <w:rPr>
                      <w:rFonts w:ascii="Verdana" w:hAnsi="Verdana" w:eastAsia="Verdana"/>
                      <w:color w:val="000000"/>
                      <w:sz w:val="18"/>
                    </w:rPr>
                    <w:t xml:space="preserve"> Dabei sind die Regelungen und Nebenbestimmungen der Allgemeinverfügung zur Bekanntgabe von Sachverständigen nach § 29a BImSchG in NRW vom 30.12.2010 zu beachten (Ministerialblatt NRW (MBL NRW) 2011 Nr. 9 vom 08.04.2011, S. 103-112). </w:t>
                  </w:r>
                  <w:r>
                    <w:rPr>
                      <w:rFonts w:ascii="Verdana" w:hAnsi="Verdana" w:eastAsia="Verdana"/>
                      <w:color w:val="000000"/>
                      <w:sz w:val="18"/>
                    </w:rPr>
                    <w:br/>
                  </w:r>
                </w:p>
                <w:p>
                  <w:pPr>
                    <w:spacing w:after="0" w:line="240" w:lineRule="auto"/>
                    <w:jc w:val="left"/>
                  </w:pPr>
                  <w:r>
                    <w:fldChar w:fldCharType="begin" w:fldLock="0" w:dirty="0"/>
                  </w:r>
                  <w:r>
                    <w:rPr>
                      <w:noProof/>
                    </w:rPr>
                    <w:instrText xml:space="preserve"> HYPERLINK "https://recht.nrw.de/lmi/owa/br_vbl_detail_text?anw_nr=7&amp;vd_id=12641&amp;ver=8&amp;val=12641&amp;sg=&amp;menu=0&amp;vd_back=N" </w:instrText>
                  </w:r>
                  <w:r>
                    <w:fldChar w:fldCharType="separate" w:fldLock="0" w:dirty="0"/>
                  </w:r>
                  <w:r>
                    <w:rPr>
                      <w:rFonts w:ascii="Verdana" w:hAnsi="Verdana" w:eastAsia="Verdana"/>
                      <w:color w:val="0000FF"/>
                      <w:sz w:val="18"/>
                      <w:u w:val="single"/>
                    </w:rPr>
                    <w:t xml:space="preserve">https://recht.nrw.de/lmi/owa/br_vbl_detail_text?anw_nr=7&amp;vd_id=12641&amp;ver=8&amp;val=12641&amp;sg=&amp;menu=0&amp;vd_back=N</w:t>
                  </w:r>
                  <w:r>
                    <w:fldChar w:fldCharType="end" w:fldLock="0" w:dirty="0"/>
                  </w:r>
                </w:p>
                <w:p>
                  <w:pPr>
                    <w:spacing w:after="0" w:line="240" w:lineRule="auto"/>
                    <w:jc w:val="left"/>
                  </w:pPr>
                  <w:r>
                    <w:rPr>
                      <w:rFonts w:ascii="Verdana" w:hAnsi="Verdana" w:eastAsia="Verdana"/>
                      <w:color w:val="000000"/>
                      <w:sz w:val="18"/>
                    </w:rPr>
                    <w:t xml:space="preserve"> </w:t>
                  </w:r>
                </w:p>
                <w:p>
                  <w:pPr>
                    <w:spacing w:after="0" w:line="240" w:lineRule="auto"/>
                    <w:jc w:val="left"/>
                  </w:pPr>
                  <w:r>
                    <w:rPr>
                      <w:rFonts w:ascii="Verdana" w:hAnsi="Verdana" w:eastAsia="Verdana"/>
                      <w:color w:val="000000"/>
                      <w:sz w:val="18"/>
                    </w:rPr>
                    <w:t xml:space="preserve">Hinweise:</w:t>
                  </w:r>
                </w:p>
                <w:p>
                  <w:pPr>
                    <w:spacing w:after="0" w:line="240" w:lineRule="auto"/>
                    <w:jc w:val="left"/>
                  </w:pPr>
                  <w:r>
                    <w:rPr>
                      <w:rFonts w:ascii="Verdana" w:hAnsi="Verdana" w:eastAsia="Verdana"/>
                      <w:color w:val="000000"/>
                      <w:sz w:val="18"/>
                    </w:rPr>
                    <w:t xml:space="preserve">Zu den Anlagenarten im Prüfbereich einer Bekanntgabe gilt jeweils die zum </w:t>
                  </w:r>
                </w:p>
                <w:p>
                  <w:pPr>
                    <w:spacing w:after="0" w:line="240" w:lineRule="auto"/>
                    <w:jc w:val="left"/>
                  </w:pPr>
                  <w:r>
                    <w:rPr>
                      <w:rFonts w:ascii="Verdana" w:hAnsi="Verdana" w:eastAsia="Verdana"/>
                      <w:color w:val="000000"/>
                      <w:sz w:val="18"/>
                    </w:rPr>
                    <w:t xml:space="preserve">Datum des Bekanntgabebescheids gültige 4. BImSchV. Es gelten grundsätzlich die </w:t>
                  </w:r>
                </w:p>
                <w:p>
                  <w:pPr>
                    <w:spacing w:after="0" w:line="240" w:lineRule="auto"/>
                    <w:jc w:val="left"/>
                  </w:pPr>
                  <w:r>
                    <w:rPr>
                      <w:rFonts w:ascii="Verdana" w:hAnsi="Verdana" w:eastAsia="Verdana"/>
                      <w:color w:val="000000"/>
                      <w:sz w:val="18"/>
                    </w:rPr>
                    <w:t xml:space="preserve">Angaben im aktuellen Bekanntgabebescheid. </w:t>
                  </w:r>
                </w:p>
                <w:p>
                  <w:pPr>
                    <w:spacing w:after="0" w:line="240" w:lineRule="auto"/>
                    <w:jc w:val="left"/>
                  </w:pPr>
                  <w:r>
                    <w:rPr>
                      <w:rFonts w:ascii="Verdana" w:hAnsi="Verdana" w:eastAsia="Verdana"/>
                      <w:color w:val="000000"/>
                      <w:sz w:val="18"/>
                    </w:rPr>
                    <w:t xml:space="preserve">Die Bekanntgaben wurden bis zum Jahr 2003 im MBL NRW, zuletzt in der Nr. 49 - Ausgabe 27.11.2003, veröffentlicht.</w:t>
                  </w:r>
                </w:p>
                <w:p>
                  <w:pPr>
                    <w:spacing w:after="0" w:line="240" w:lineRule="auto"/>
                    <w:jc w:val="left"/>
                  </w:pPr>
                  <w:r>
                    <w:rPr>
                      <w:rFonts w:ascii="Verdana" w:hAnsi="Verdana" w:eastAsia="Verdana"/>
                      <w:color w:val="000000"/>
                      <w:sz w:val="18"/>
                    </w:rPr>
                    <w:t xml:space="preserve">Seitdem ist eine Bekanntgabe mit ihrer Aufnahme in das Recherchesystem ReSyMeSa</w:t>
                  </w:r>
                </w:p>
                <w:p>
                  <w:pPr>
                    <w:spacing w:after="0" w:line="240" w:lineRule="auto"/>
                    <w:jc w:val="left"/>
                  </w:pPr>
                  <w:r>
                    <w:rPr>
                      <w:rFonts w:ascii="Verdana" w:hAnsi="Verdana" w:eastAsia="Verdana"/>
                      <w:color w:val="000000"/>
                      <w:sz w:val="18"/>
                    </w:rPr>
                    <w:t xml:space="preserve">in Nordrhein-Westfalen abschließend vollzogen.</w:t>
                  </w:r>
                </w:p>
                <w:p>
                  <w:pPr>
                    <w:spacing w:after="0"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Sachsen-Anhalt</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fldChar w:fldCharType="begin" w:fldLock="0" w:dirty="0"/>
                  </w:r>
                  <w:r>
                    <w:rPr>
                      <w:noProof/>
                    </w:rPr>
                    <w:instrText xml:space="preserve"> HYPERLINK "https://lau.sachsen-anhalt.de/fileadmin/Bibliothek/Politik_und_Verwaltung/MLU/LAU/Notifizierung_Bekanntgabe/Luft/Dateien/Fachinformation_LAU_05_2011.pdf" </w:instrText>
                  </w:r>
                  <w:r>
                    <w:fldChar w:fldCharType="separate" w:fldLock="0" w:dirty="0"/>
                  </w:r>
                  <w:r>
                    <w:rPr>
                      <w:rFonts w:ascii="Verdana" w:hAnsi="Verdana" w:eastAsia="Verdana"/>
                      <w:b/>
                      <w:color w:val="0000FF"/>
                      <w:sz w:val="18"/>
                      <w:u w:val="single"/>
                    </w:rPr>
                    <w:t xml:space="preserve">Hinweise an nach §29b BImSchG bekannt gegebene Sachverständige </w:t>
                  </w:r>
                  <w:r>
                    <w:fldChar w:fldCharType="end" w:fldLock="0" w:dirty="0"/>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arial" w:hAnsi="arial" w:eastAsia="arial"/>
                      <w:b/>
                      <w:color w:val="000000"/>
                      <w:sz w:val="22"/>
                      <w:u w:val="single"/>
                    </w:rPr>
                    <w:t xml:space="preserve">Neue E-Mail-Adresse des Landesamtes für Umweltschutz (LAU):</w:t>
                  </w:r>
                </w:p>
                <w:p>
                  <w:pPr>
                    <w:spacing w:after="199" w:line="240" w:lineRule="auto"/>
                    <w:jc w:val="left"/>
                  </w:pPr>
                  <w:r>
                    <w:rPr>
                      <w:rFonts w:ascii="Verdana" w:hAnsi="Verdana" w:eastAsia="Verdana"/>
                      <w:b/>
                      <w:color w:val="000000"/>
                      <w:sz w:val="18"/>
                    </w:rPr>
                    <w:t xml:space="preserve">poststelle@lau.mwu.sachsen-anhalt.de</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r>
                  <w:r>
                    <w:rPr>
                      <w:rFonts w:ascii="Verdana" w:hAnsi="Verdana" w:eastAsia="Verdana"/>
                      <w:color w:val="000000"/>
                      <w:sz w:val="18"/>
                    </w:rPr>
                    <w:b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Thüringen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r>
                  <w:r>
                    <w:rPr>
                      <w:rFonts w:ascii="Verdana" w:hAnsi="Verdana" w:eastAsia="Verdana"/>
                      <w:color w:val="000000"/>
                      <w:sz w:val="18"/>
                    </w:rPr>
                    <w:br/>
                  </w:r>
                </w:p>
              </w:tc>
            </w:tr>
          </w:tbl>
          <w:p>
            <w:pPr>
              <w:spacing w:after="0" w:line="240" w:lineRule="auto"/>
            </w:pPr>
          </w:p>
        </w:tc>
      </w:tr>
      <w:tr>
        <w:trPr>
          <w:trHeight w:val="144" w:hRule="atLeast"/>
        </w:trPr>
        <w:tc>
          <w:tcPr>
            <w:tcW w:w="103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6" w:type="default"/>
      <w:pgSz w:w="11905" w:h="16837"/>
      <w:pgMar w:top="1913" w:right="566" w:bottom="1514" w:left="566" w:header="1133" w:footer="1133"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712"/>
      <w:gridCol w:w="3480"/>
      <w:gridCol w:w="3202"/>
    </w:tblGrid>
    <w:tr>
      <w:trPr/>
      <w:tc>
        <w:tcPr>
          <w:tcW w:w="3712" w:type="dxa"/>
        </w:tcPr>
        <w:p>
          <w:pPr>
            <w:pStyle w:val="EmptyCellLayoutStyle"/>
            <w:spacing w:after="0" w:line="240" w:lineRule="auto"/>
          </w:pPr>
        </w:p>
      </w:tc>
      <w:tc>
        <w:tcPr>
          <w:tcW w:w="3480" w:type="dxa"/>
        </w:tcPr>
        <w:p>
          <w:pPr>
            <w:pStyle w:val="EmptyCellLayoutStyle"/>
            <w:spacing w:after="0" w:line="240" w:lineRule="auto"/>
          </w:pPr>
        </w:p>
      </w:tc>
      <w:tc>
        <w:tcPr>
          <w:tcW w:w="3202" w:type="dxa"/>
        </w:tcPr>
        <w:p>
          <w:pPr>
            <w:pStyle w:val="EmptyCellLayoutStyle"/>
            <w:spacing w:after="0" w:line="240" w:lineRule="auto"/>
          </w:pPr>
        </w:p>
      </w:tc>
    </w:tr>
    <w:tr>
      <w:trPr/>
      <w:tc>
        <w:tcPr>
          <w:tcW w:w="3712" w:type="dxa"/>
        </w:tcPr>
        <w:tbl>
          <w:tblPr>
            <w:tblCellMar>
              <w:top w:w="0" w:type="dxa"/>
              <w:left w:w="0" w:type="dxa"/>
              <w:bottom w:w="0" w:type="dxa"/>
              <w:right w:w="0" w:type="dxa"/>
            </w:tblCellMar>
          </w:tblPr>
          <w:tblGrid>
            <w:gridCol w:w="3712"/>
          </w:tblGrid>
          <w:tr>
            <w:trPr>
              <w:trHeight w:val="262" w:hRule="atLeast"/>
            </w:trPr>
            <w:tc>
              <w:tcPr>
                <w:tcW w:w="371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23.06.2025 07:28:43</w:t>
                </w:r>
              </w:p>
            </w:tc>
          </w:tr>
        </w:tbl>
        <w:p>
          <w:pPr>
            <w:spacing w:after="0" w:line="240" w:lineRule="auto"/>
          </w:pPr>
        </w:p>
      </w:tc>
      <w:tc>
        <w:tcPr>
          <w:tcW w:w="3480" w:type="dxa"/>
        </w:tcPr>
        <w:p>
          <w:pPr>
            <w:pStyle w:val="EmptyCellLayoutStyle"/>
            <w:spacing w:after="0" w:line="240" w:lineRule="auto"/>
          </w:pPr>
        </w:p>
      </w:tc>
      <w:tc>
        <w:tcPr>
          <w:tcW w:w="3202" w:type="dxa"/>
        </w:tcPr>
        <w:tbl>
          <w:tblPr>
            <w:tblCellMar>
              <w:top w:w="0" w:type="dxa"/>
              <w:left w:w="0" w:type="dxa"/>
              <w:bottom w:w="0" w:type="dxa"/>
              <w:right w:w="0" w:type="dxa"/>
            </w:tblCellMar>
          </w:tblPr>
          <w:tblGrid>
            <w:gridCol w:w="3202"/>
          </w:tblGrid>
          <w:tr>
            <w:trPr>
              <w:trHeight w:val="262" w:hRule="atLeast"/>
            </w:trPr>
            <w:tc>
              <w:tcPr>
                <w:tcW w:w="32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Verdana" w:hAnsi="Verdana" w:eastAsia="Verdana"/>
                    <w:color w:val="000000"/>
                    <w:sz w:val="18"/>
                  </w:rPr>
                  <w:t xml:space="preserve">Seite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PAGE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r>
                  <w:rPr>
                    <w:rFonts w:ascii="Verdana" w:hAnsi="Verdana" w:eastAsia="Verdana"/>
                    <w:color w:val="000000"/>
                    <w:sz w:val="18"/>
                  </w:rPr>
                  <w:t xml:space="preserve"> von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NUMPAGES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p>
            </w:tc>
          </w:tr>
        </w:tbl>
        <w:p>
          <w:pPr>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394"/>
    </w:tblGrid>
    <w:tr>
      <w:trPr/>
      <w:tc>
        <w:tcPr>
          <w:tcW w:w="10394" w:type="dxa"/>
        </w:tcPr>
        <w:tbl>
          <w:tblPr>
            <w:tblCellMar>
              <w:top w:w="0" w:type="dxa"/>
              <w:left w:w="0" w:type="dxa"/>
              <w:bottom w:w="0" w:type="dxa"/>
              <w:right w:w="0" w:type="dxa"/>
            </w:tblCellMar>
          </w:tblPr>
          <w:tblGrid>
            <w:gridCol w:w="10394"/>
          </w:tblGrid>
          <w:tr>
            <w:trPr>
              <w:trHeight w:val="517" w:hRule="atLeast"/>
            </w:trPr>
            <w:tc>
              <w:tcPr>
                <w:tcW w:w="103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Verdana" w:hAnsi="Verdana" w:eastAsia="Verdana"/>
                    <w:b/>
                    <w:color w:val="000000"/>
                    <w:sz w:val="24"/>
                  </w:rPr>
                  <w:t xml:space="preserve">Länderspezifische Regelungen - Modul </w:t>
                </w:r>
                <w:r>
                  <w:rPr>
                    <w:rFonts w:ascii="Verdana" w:hAnsi="Verdana" w:eastAsia="Verdana"/>
                    <w:b/>
                    <w:color w:val="000000"/>
                    <w:sz w:val="24"/>
                  </w:rPr>
                  <w:t xml:space="preserve">Immissionsschutz</w:t>
                </w:r>
              </w:p>
            </w:tc>
          </w:tr>
        </w:tbl>
        <w:p>
          <w:pPr>
            <w:spacing w:after="0" w:line="240" w:lineRule="auto"/>
          </w:pPr>
        </w:p>
      </w:tc>
    </w:tr>
    <w:tr>
      <w:trPr/>
      <w:tc>
        <w:tcPr>
          <w:tcW w:w="103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6" /><Relationship Type="http://schemas.openxmlformats.org/officeDocument/2006/relationships/numbering" Target="/word/numbering.xml" Id="rId8"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LaenderSpezRegelungen</dc:title>
</cp:coreProperties>
</file>