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Gesetz zum Schutz vor schädlichen Bodenveränderungen und zur Sanierung von Altlasten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(Bundes-Bodenschutzgesetz - BBodSchG) vom 17. März 1998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(BGBl. I 1998 S. 502, BGBl. I 2004 S. 3214)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18 BBodSchG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Sachverständige und Untersuchungsstellen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Sachverständige und Untersuchungsstellen, die Aufgaben nach diesem Gesetz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wahrnehmen, müssen die für diese Aufgaben erforderliche Sachkunde und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Zuverlässigkeit besitzen sowie über die erforderliche gerätetechnische Ausstattung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verfügen. Die Länder können Einzelheiten der an Sachverständige und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Untersuchungsstellen nach Satz 1 zu stellenden Anforderungen, Art und Umfang der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 ihnen wahrzunehmenden Aufgaben, die Vorlage der Ergebnisse ihrer Tätigkeit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und die Bekanntgabe von Sachverständigen, welche die Anforderungen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nach Satz 1 erfüllen, regeln. 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02.05.2024 12:26:24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