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394"/>
      </w:tblGrid>
      <w:tr>
        <w:trPr/>
        <w:tc>
          <w:tcPr>
            <w:tcW w:w="1039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9"/>
              <w:gridCol w:w="7274"/>
            </w:tblGrid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BUNDESLAND</w:t>
                  </w:r>
                </w:p>
              </w:tc>
              <w:tc>
                <w:tcPr>
                  <w:tcW w:w="72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LÄNDERSPEZIFISCHE REGELUNGEN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Baden-Württemberg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"http://drs.baden-wuerttemberg.de/file?AK_ID=738"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  <w:u w:val="single"/>
                    </w:rPr>
                    <w:t xml:space="preserve">Gesetz über die Vermeidung und Entsorgung von Abfällen (Landesabfallgesetz - LAbfG; § 25)</w:t>
                  </w:r>
                  <w:r>
                    <w:fldChar w:fldCharType="end" w:fldLock="0" w:dirty="0"/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Nordrhein-Westfalen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 Notifizierung von Untersuchungsstellen nach Bioabfall-, Altholz- und Altölverordnung sind durch die Änderung des Erlasses zur Notifizierung von Untersuchungsstellen nach Klärschlamm-, Bioabfall-, Altholz- und Altölverordnung, Runderlass des Ministeriums für Umwelt, Landwirtschaft, Natur- und Verbraucherschutz NRW - IV-3-958.02 vom 05.12.2017 geregelt.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Für Notifizierungen nach Klärschlammverordnung (AbfKlärV) gilt § 33 AbfKlärV.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Darüber hinaus erteilt das Land NRW Zulassungen nach § 16 Landeskreislaufwirtschaftsgesetz  (LKrWG) für Untersuchungsbereiche in den Matrices Abfall, Sickerwasser, Grund- und Oberflächenwasser. Eine Liste dieser Untersuchungsstellen findet sich unter: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"https://www.lanuv.nrw.de/umwelt/abfall/service/untersuchungsstellen-nach-25-landesabfallgesetz-labfg"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https://www.lanuv.nrw.de/umwelt/abfall/service/untersuchungsstellen-nach-25-landesabfallgesetz-labfg</w:t>
                  </w:r>
                  <w:r>
                    <w:fldChar w:fldCharType="end" w:fldLock="0" w:dirty="0"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1039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913" w:right="566" w:bottom="151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480"/>
      <w:gridCol w:w="3202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26.04.2024 06:36:05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394"/>
    </w:tblGrid>
    <w:tr>
      <w:trPr/>
      <w:tc>
        <w:tcPr>
          <w:tcW w:w="1039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94"/>
          </w:tblGrid>
          <w:tr>
            <w:trPr>
              <w:trHeight w:val="517" w:hRule="atLeast"/>
            </w:trPr>
            <w:tc>
              <w:tcPr>
                <w:tcW w:w="1039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Länderspezifische Regelungen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Abfall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39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LaenderSpezRegelungen</dc:title>
</cp:coreProperties>
</file>